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9072"/>
        <w:outlineLvl w:val="1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Приложение № 2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к Порядку предоставления, расходования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и осуществления контроля за целевым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использованием иных межбюджетных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трансфертов из бюджета муниципального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образования Тазовский район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на софинансирование расходных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обязательств поселений, находящихся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в границах муниципального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образования Тазовский район,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 xml:space="preserve">возникающих при выполнении 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ими полномочий по организации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  <w:r>
        <w:rPr>
          <w:rFonts w:ascii="PT Astra Serif" w:eastAsia="Times New Roman" w:hAnsi="PT Astra Serif" w:cs="Calibri"/>
          <w:sz w:val="28"/>
          <w:szCs w:val="28"/>
        </w:rPr>
        <w:t>благоустройства территорий поселений</w:t>
      </w: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left="9072"/>
        <w:rPr>
          <w:rFonts w:ascii="PT Astra Serif" w:eastAsia="Times New Roman" w:hAnsi="PT Astra Serif" w:cs="Calibri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Calibri"/>
          <w:b/>
          <w:sz w:val="28"/>
          <w:szCs w:val="28"/>
        </w:rPr>
        <w:t xml:space="preserve">ФОРМА ОТЧЕТА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</w:rPr>
      </w:pPr>
      <w:r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ОТЧЕТ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о расходовании иных межбюджетных трансфертов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>муниципальное образование ________________________________</w:t>
      </w: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sz w:val="28"/>
          <w:szCs w:val="28"/>
          <w:lang w:eastAsia="ru-RU"/>
        </w:rPr>
        <w:t xml:space="preserve">                                             за _________________________ 20__ года</w:t>
      </w: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  <w:r>
        <w:rPr>
          <w:rFonts w:ascii="PT Astra Serif" w:eastAsia="Times New Roman" w:hAnsi="PT Astra Serif" w:cs="Arial"/>
          <w:sz w:val="20"/>
          <w:szCs w:val="28"/>
          <w:lang w:eastAsia="ru-RU"/>
        </w:rPr>
        <w:t xml:space="preserve">                                                          (период)</w:t>
      </w: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Arial"/>
          <w:sz w:val="20"/>
          <w:szCs w:val="28"/>
          <w:lang w:eastAsia="ru-RU"/>
        </w:rPr>
      </w:pPr>
    </w:p>
    <w:tbl>
      <w:tblPr>
        <w:tblStyle w:val="1"/>
        <w:tblW w:w="1532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8"/>
        <w:gridCol w:w="2001"/>
        <w:gridCol w:w="579"/>
        <w:gridCol w:w="838"/>
        <w:gridCol w:w="551"/>
        <w:gridCol w:w="1009"/>
        <w:gridCol w:w="1004"/>
        <w:gridCol w:w="1134"/>
        <w:gridCol w:w="1386"/>
        <w:gridCol w:w="1295"/>
        <w:gridCol w:w="1134"/>
        <w:gridCol w:w="992"/>
        <w:gridCol w:w="993"/>
        <w:gridCol w:w="992"/>
        <w:gridCol w:w="850"/>
      </w:tblGrid>
      <w:tr>
        <w:trPr>
          <w:trHeight w:val="129"/>
          <w:jc w:val="center"/>
        </w:trPr>
        <w:tc>
          <w:tcPr>
            <w:tcW w:w="568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2001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Наименование иных межбюджетных трансфертов (мероприятий)</w:t>
            </w:r>
          </w:p>
        </w:tc>
        <w:tc>
          <w:tcPr>
            <w:tcW w:w="1968" w:type="dxa"/>
            <w:gridSpan w:val="3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Код классификации расходов местного бюджета</w:t>
            </w:r>
          </w:p>
        </w:tc>
        <w:tc>
          <w:tcPr>
            <w:tcW w:w="7954" w:type="dxa"/>
            <w:gridSpan w:val="7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Размер иных межбюджетных трансфертов, руб.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Остаток средств, руб.</w:t>
            </w:r>
          </w:p>
        </w:tc>
      </w:tr>
      <w:tr>
        <w:trPr>
          <w:trHeight w:val="358"/>
          <w:jc w:val="center"/>
        </w:trPr>
        <w:tc>
          <w:tcPr>
            <w:tcW w:w="568" w:type="dxa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8" w:type="dxa"/>
            <w:gridSpan w:val="3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47" w:type="dxa"/>
            <w:gridSpan w:val="3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назначено на год</w:t>
            </w:r>
          </w:p>
        </w:tc>
        <w:tc>
          <w:tcPr>
            <w:tcW w:w="1386" w:type="dxa"/>
            <w:vMerge w:val="restart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получено в отчетном периоде из окружного бюджета (нарастающим итогом)</w:t>
            </w:r>
          </w:p>
        </w:tc>
        <w:tc>
          <w:tcPr>
            <w:tcW w:w="3421" w:type="dxa"/>
            <w:gridSpan w:val="3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исполнено в отчетном периоде</w:t>
            </w:r>
          </w:p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(нарастающим итогом)</w:t>
            </w:r>
          </w:p>
        </w:tc>
        <w:tc>
          <w:tcPr>
            <w:tcW w:w="2835" w:type="dxa"/>
            <w:gridSpan w:val="3"/>
            <w:vMerge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</w:tr>
      <w:tr>
        <w:trPr>
          <w:trHeight w:val="832"/>
          <w:jc w:val="center"/>
        </w:trPr>
        <w:tc>
          <w:tcPr>
            <w:tcW w:w="568" w:type="dxa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1" w:type="dxa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ФКР</w:t>
            </w:r>
          </w:p>
        </w:tc>
        <w:tc>
          <w:tcPr>
            <w:tcW w:w="838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09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всего, в том числе</w:t>
            </w:r>
          </w:p>
        </w:tc>
        <w:tc>
          <w:tcPr>
            <w:tcW w:w="100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1386" w:type="dxa"/>
            <w:vMerge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 xml:space="preserve">всего, </w:t>
            </w:r>
          </w:p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 xml:space="preserve">всего, </w:t>
            </w:r>
          </w:p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окружного бюджета</w:t>
            </w: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Calibri"/>
          <w:sz w:val="2"/>
          <w:szCs w:val="2"/>
        </w:rPr>
      </w:pPr>
    </w:p>
    <w:tbl>
      <w:tblPr>
        <w:tblStyle w:val="1"/>
        <w:tblpPr w:leftFromText="180" w:rightFromText="180" w:vertAnchor="text" w:tblpXSpec="center" w:tblpY="1"/>
        <w:tblW w:w="153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84"/>
        <w:gridCol w:w="1985"/>
        <w:gridCol w:w="567"/>
        <w:gridCol w:w="850"/>
        <w:gridCol w:w="567"/>
        <w:gridCol w:w="993"/>
        <w:gridCol w:w="992"/>
        <w:gridCol w:w="1134"/>
        <w:gridCol w:w="1417"/>
        <w:gridCol w:w="1276"/>
        <w:gridCol w:w="1134"/>
        <w:gridCol w:w="992"/>
        <w:gridCol w:w="992"/>
        <w:gridCol w:w="992"/>
        <w:gridCol w:w="851"/>
      </w:tblGrid>
      <w:tr>
        <w:trPr>
          <w:cantSplit/>
          <w:trHeight w:val="130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6=7+8</w:t>
            </w: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10=11+12</w:t>
            </w:r>
          </w:p>
        </w:tc>
        <w:tc>
          <w:tcPr>
            <w:tcW w:w="1134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13=14+15</w:t>
            </w: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14=7-11</w:t>
            </w:r>
          </w:p>
        </w:tc>
        <w:tc>
          <w:tcPr>
            <w:tcW w:w="85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15=8-12</w:t>
            </w:r>
          </w:p>
        </w:tc>
      </w:tr>
      <w:tr>
        <w:trPr>
          <w:trHeight w:val="372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Освещение улиц – всего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259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>
        <w:trPr>
          <w:trHeight w:val="304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395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Содержание объектов уличного освещения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259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Озеленение территории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161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Создание условий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для массового отдыха жителей городского округа и поселений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и организация обустройства мест массового отдыха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2156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Приобретение декоративных конструкций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и оборудования (установок) архитектурного освещения для организации праздничных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новогодних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 xml:space="preserve">мероприятий </w:t>
            </w:r>
          </w:p>
          <w:p>
            <w:pPr>
              <w:jc w:val="center"/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color w:val="000000"/>
                <w:sz w:val="16"/>
                <w:szCs w:val="16"/>
                <w:lang w:eastAsia="ru-RU"/>
              </w:rPr>
              <w:t>и иллюминации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2526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Приобретение оборудования (установок) для реализации дизайн-проектов архитектурного освещения объектов благоустройства, фасадов административных зданий, многоквартирных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домов, расположенных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в общественно-деловых районах города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268"/>
          <w:tblHeader/>
        </w:trPr>
        <w:tc>
          <w:tcPr>
            <w:tcW w:w="584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6=7+8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10=11+12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13=14+15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14=7-11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val="ru-RU" w:eastAsia="ru-RU"/>
              </w:rPr>
              <w:t>15=8-12</w:t>
            </w:r>
          </w:p>
        </w:tc>
      </w:tr>
      <w:tr>
        <w:trPr>
          <w:trHeight w:val="706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Содержание и ремонт контейнерных площадок, контейнеров, бункеров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831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Приобретение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и содержание специализированных контейнеров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«Дог Боксы»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844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Капитальный ремонт, реконструкция детских игровых (спортивных) площадок (комплексов)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1845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Мероприятия в области энергосбережения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и повышения энергетической эффективности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на объектах уличного освещения, реализуемые в рамках энергосервисных договоров (контрактов) либо договоров купли-продажи, поставки электроэнергии, имеющих условия энергосервисного договора (контракта)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1395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Возмещение затрат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на содержание объектов уличного освещения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в рамках концессионных соглашений, заключенных в порядке, утвержденном законодательством Российской Федерации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419"/>
          <w:tblHeader/>
        </w:trPr>
        <w:tc>
          <w:tcPr>
            <w:tcW w:w="58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985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 xml:space="preserve">Иные мероприятия </w:t>
            </w:r>
          </w:p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  <w:t>по благоустройству</w:t>
            </w: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ru-RU"/>
              </w:rPr>
            </w:pPr>
          </w:p>
        </w:tc>
      </w:tr>
      <w:tr>
        <w:trPr>
          <w:trHeight w:val="58"/>
          <w:tblHeader/>
        </w:trPr>
        <w:tc>
          <w:tcPr>
            <w:tcW w:w="4553" w:type="dxa"/>
            <w:gridSpan w:val="5"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>
            <w:pPr>
              <w:jc w:val="center"/>
              <w:rPr>
                <w:rFonts w:ascii="PT Astra Serif" w:eastAsia="Times New Roman" w:hAnsi="PT Astra Serif" w:cs="Arial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</w:rPr>
      </w:pPr>
      <w:r>
        <w:rPr>
          <w:rFonts w:ascii="PT Astra Serif" w:eastAsia="Times New Roman" w:hAnsi="PT Astra Serif" w:cs="Arial"/>
          <w:sz w:val="28"/>
          <w:szCs w:val="16"/>
          <w:lang w:eastAsia="ru-RU"/>
        </w:rPr>
        <w:t>Руководитель уполномоченного органа</w:t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  <w:t>_______________________________</w:t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</w:r>
      <w:r>
        <w:rPr>
          <w:rFonts w:ascii="PT Astra Serif" w:eastAsia="Times New Roman" w:hAnsi="PT Astra Serif" w:cs="Arial"/>
          <w:sz w:val="16"/>
          <w:szCs w:val="16"/>
          <w:lang w:eastAsia="ru-RU"/>
        </w:rPr>
        <w:tab/>
        <w:t>(_______________________________________)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0"/>
        </w:rPr>
      </w:pPr>
      <w:r>
        <w:rPr>
          <w:rFonts w:ascii="PT Astra Serif" w:eastAsia="Times New Roman" w:hAnsi="PT Astra Serif" w:cs="Times New Roman"/>
          <w:sz w:val="20"/>
        </w:rPr>
        <w:t xml:space="preserve">                                                                                                                  (подпись)</w:t>
      </w:r>
      <w:r>
        <w:rPr>
          <w:rFonts w:ascii="PT Astra Serif" w:eastAsia="Times New Roman" w:hAnsi="PT Astra Serif" w:cs="Times New Roman"/>
          <w:sz w:val="20"/>
        </w:rPr>
        <w:tab/>
      </w:r>
      <w:r>
        <w:rPr>
          <w:rFonts w:ascii="PT Astra Serif" w:eastAsia="Times New Roman" w:hAnsi="PT Astra Serif" w:cs="Times New Roman"/>
          <w:sz w:val="20"/>
        </w:rPr>
        <w:tab/>
      </w:r>
      <w:r>
        <w:rPr>
          <w:rFonts w:ascii="PT Astra Serif" w:eastAsia="Times New Roman" w:hAnsi="PT Astra Serif" w:cs="Times New Roman"/>
          <w:sz w:val="20"/>
        </w:rPr>
        <w:tab/>
      </w:r>
      <w:r>
        <w:rPr>
          <w:rFonts w:ascii="PT Astra Serif" w:eastAsia="Times New Roman" w:hAnsi="PT Astra Serif" w:cs="Times New Roman"/>
          <w:sz w:val="20"/>
        </w:rPr>
        <w:tab/>
      </w:r>
      <w:r>
        <w:rPr>
          <w:rFonts w:ascii="PT Astra Serif" w:eastAsia="Times New Roman" w:hAnsi="PT Astra Serif" w:cs="Times New Roman"/>
          <w:sz w:val="20"/>
        </w:rPr>
        <w:tab/>
        <w:t xml:space="preserve">                                                     (Ф.И.О.)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Исполнитель</w:t>
      </w:r>
    </w:p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0"/>
          <w:szCs w:val="28"/>
        </w:rPr>
        <w:t>Ф.И.О. (полностью), телефон</w:t>
      </w:r>
      <w:r>
        <w:rPr>
          <w:rFonts w:ascii="PT Astra Serif" w:eastAsia="Times New Roman" w:hAnsi="PT Astra Serif" w:cs="Times New Roman"/>
          <w:sz w:val="28"/>
          <w:szCs w:val="28"/>
        </w:rPr>
        <w:tab/>
      </w:r>
      <w:r>
        <w:rPr>
          <w:rFonts w:ascii="PT Astra Serif" w:eastAsia="Times New Roman" w:hAnsi="PT Astra Serif" w:cs="Times New Roman"/>
          <w:sz w:val="28"/>
          <w:szCs w:val="28"/>
        </w:rPr>
        <w:tab/>
      </w:r>
      <w:r>
        <w:rPr>
          <w:rFonts w:ascii="PT Astra Serif" w:eastAsia="Times New Roman" w:hAnsi="PT Astra Serif" w:cs="Times New Roman"/>
          <w:sz w:val="28"/>
          <w:szCs w:val="28"/>
        </w:rPr>
        <w:tab/>
        <w:t>__________________________</w:t>
      </w:r>
    </w:p>
    <w:p>
      <w:pPr>
        <w:spacing w:after="0" w:line="240" w:lineRule="auto"/>
        <w:ind w:left="4956" w:firstLine="708"/>
        <w:rPr>
          <w:rFonts w:ascii="PT Astra Serif" w:eastAsia="Times New Roman" w:hAnsi="PT Astra Serif" w:cs="Times New Roman"/>
          <w:sz w:val="20"/>
          <w:szCs w:val="28"/>
        </w:rPr>
      </w:pPr>
      <w:r>
        <w:rPr>
          <w:rFonts w:ascii="PT Astra Serif" w:eastAsia="Times New Roman" w:hAnsi="PT Astra Serif" w:cs="Times New Roman"/>
          <w:sz w:val="20"/>
          <w:szCs w:val="28"/>
        </w:rPr>
        <w:t>(подпись)</w:t>
      </w:r>
    </w:p>
    <w:sectPr>
      <w:headerReference w:type="default" r:id="rId6"/>
      <w:footnotePr>
        <w:numStart w:val="2"/>
      </w:footnotePr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1815476206"/>
      <w:docPartObj>
        <w:docPartGallery w:val="Page Numbers (Top of Page)"/>
        <w:docPartUnique/>
      </w:docPartObj>
    </w:sdtPr>
    <w:sdtContent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16B5A-6E86-4A0F-BC07-9E56C504E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Фадеева Алена Михайловна</cp:lastModifiedBy>
  <cp:revision>8</cp:revision>
  <cp:lastPrinted>2020-08-07T05:13:00Z</cp:lastPrinted>
  <dcterms:created xsi:type="dcterms:W3CDTF">2020-05-27T13:26:00Z</dcterms:created>
  <dcterms:modified xsi:type="dcterms:W3CDTF">2020-08-07T05:13:00Z</dcterms:modified>
</cp:coreProperties>
</file>